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4115" w14:textId="75B437E5" w:rsidR="004F1C93" w:rsidRPr="006036B5" w:rsidRDefault="0081126A">
      <w:pPr>
        <w:rPr>
          <w:rFonts w:ascii="Arial" w:hAnsi="Arial" w:cs="Arial"/>
          <w:i/>
          <w:iCs/>
          <w:color w:val="1F3864" w:themeColor="accent1" w:themeShade="80"/>
        </w:rPr>
      </w:pPr>
      <w:r w:rsidRPr="006036B5">
        <w:rPr>
          <w:rFonts w:ascii="Arial" w:hAnsi="Arial" w:cs="Arial"/>
          <w:i/>
          <w:iCs/>
          <w:color w:val="1F3864" w:themeColor="accent1" w:themeShade="80"/>
        </w:rPr>
        <w:t xml:space="preserve">Annexe </w:t>
      </w:r>
      <w:r w:rsidR="00FF08FC" w:rsidRPr="006036B5">
        <w:rPr>
          <w:rFonts w:ascii="Arial" w:hAnsi="Arial" w:cs="Arial"/>
          <w:i/>
          <w:iCs/>
          <w:color w:val="1F3864" w:themeColor="accent1" w:themeShade="80"/>
        </w:rPr>
        <w:t>One:</w:t>
      </w:r>
      <w:r w:rsidRPr="006036B5">
        <w:rPr>
          <w:rFonts w:ascii="Arial" w:hAnsi="Arial" w:cs="Arial"/>
          <w:i/>
          <w:iCs/>
          <w:color w:val="1F3864" w:themeColor="accent1" w:themeShade="80"/>
        </w:rPr>
        <w:t xml:space="preserve"> Evaluation types</w:t>
      </w:r>
    </w:p>
    <w:p w14:paraId="17965D78" w14:textId="77777777" w:rsidR="0081126A" w:rsidRPr="006036B5" w:rsidRDefault="0081126A" w:rsidP="0081126A">
      <w:pPr>
        <w:pStyle w:val="Heading3"/>
        <w:rPr>
          <w:rFonts w:ascii="Arial" w:hAnsi="Arial" w:cs="Arial"/>
          <w:color w:val="1F3864" w:themeColor="accent1" w:themeShade="80"/>
          <w:sz w:val="22"/>
          <w:szCs w:val="22"/>
        </w:rPr>
      </w:pPr>
      <w:bookmarkStart w:id="0" w:name="_Toc87436078"/>
      <w:r w:rsidRPr="006036B5">
        <w:rPr>
          <w:rFonts w:ascii="Arial" w:hAnsi="Arial" w:cs="Arial"/>
          <w:color w:val="1F3864" w:themeColor="accent1" w:themeShade="80"/>
          <w:sz w:val="22"/>
          <w:szCs w:val="22"/>
        </w:rPr>
        <w:t>Outcomes Evaluation</w:t>
      </w:r>
      <w:bookmarkEnd w:id="0"/>
    </w:p>
    <w:p w14:paraId="7E8C71C6" w14:textId="77777777" w:rsidR="0081126A" w:rsidRPr="006036B5" w:rsidRDefault="0081126A" w:rsidP="0081126A">
      <w:pPr>
        <w:autoSpaceDE w:val="0"/>
        <w:autoSpaceDN w:val="0"/>
        <w:spacing w:before="240" w:after="120" w:line="276" w:lineRule="auto"/>
        <w:rPr>
          <w:rFonts w:ascii="Arial" w:hAnsi="Arial" w:cs="Arial"/>
        </w:rPr>
      </w:pPr>
      <w:r w:rsidRPr="006036B5">
        <w:rPr>
          <w:rFonts w:ascii="Arial" w:hAnsi="Arial" w:cs="Arial"/>
          <w:i/>
          <w:iCs/>
        </w:rPr>
        <w:t>Outcomes</w:t>
      </w:r>
      <w:r w:rsidRPr="006036B5">
        <w:rPr>
          <w:rFonts w:ascii="Arial" w:hAnsi="Arial" w:cs="Arial"/>
        </w:rPr>
        <w:t xml:space="preserve"> are the developmental changes observed and experienced between the completion of outputs and the achievement of impact. They are the changes that can be attributed to organisational or project activities.  These can be intended outcomes or unintended outcomes, they may be positive or negative, and they will be linked to any pertinent impacts. For example, one of the intended outcomes from ‘Hazard Identification’ could be that a ‘particular hazard’ that might impact on a specific vulnerable group is identified and this hazard is mitigated. Outcome evaluations move away from the approach of assessing project results against project objectives and move towards an assessment of how these results contribute to a change in development conditions.</w:t>
      </w:r>
    </w:p>
    <w:p w14:paraId="27175E58" w14:textId="77777777" w:rsidR="0081126A" w:rsidRPr="006036B5" w:rsidRDefault="0081126A" w:rsidP="0081126A">
      <w:pPr>
        <w:autoSpaceDE w:val="0"/>
        <w:autoSpaceDN w:val="0"/>
        <w:spacing w:before="240" w:after="120" w:line="276" w:lineRule="auto"/>
        <w:rPr>
          <w:rFonts w:ascii="Arial" w:hAnsi="Arial" w:cs="Arial"/>
        </w:rPr>
      </w:pPr>
      <w:r w:rsidRPr="006036B5">
        <w:rPr>
          <w:rFonts w:ascii="Arial" w:hAnsi="Arial" w:cs="Arial"/>
        </w:rPr>
        <w:t xml:space="preserve">Outcome evaluation measurements include the following: </w:t>
      </w:r>
    </w:p>
    <w:p w14:paraId="468B12BC" w14:textId="77777777" w:rsidR="0081126A" w:rsidRPr="006036B5" w:rsidRDefault="0081126A" w:rsidP="006036B5">
      <w:pPr>
        <w:pStyle w:val="ListParagraph"/>
        <w:numPr>
          <w:ilvl w:val="0"/>
          <w:numId w:val="4"/>
        </w:numPr>
        <w:autoSpaceDE w:val="0"/>
        <w:autoSpaceDN w:val="0"/>
        <w:spacing w:before="240" w:after="120" w:line="276" w:lineRule="auto"/>
        <w:rPr>
          <w:rFonts w:ascii="Arial" w:hAnsi="Arial" w:cs="Arial"/>
        </w:rPr>
      </w:pPr>
      <w:r w:rsidRPr="006036B5">
        <w:rPr>
          <w:rFonts w:ascii="Arial" w:hAnsi="Arial" w:cs="Arial"/>
        </w:rPr>
        <w:t>whether an outcome has been achieved or progress made towards it</w:t>
      </w:r>
    </w:p>
    <w:p w14:paraId="605A9C0C" w14:textId="77777777" w:rsidR="0081126A" w:rsidRPr="006036B5" w:rsidRDefault="0081126A" w:rsidP="006036B5">
      <w:pPr>
        <w:pStyle w:val="ListParagraph"/>
        <w:numPr>
          <w:ilvl w:val="0"/>
          <w:numId w:val="4"/>
        </w:numPr>
        <w:autoSpaceDE w:val="0"/>
        <w:autoSpaceDN w:val="0"/>
        <w:spacing w:before="240" w:after="120" w:line="276" w:lineRule="auto"/>
        <w:rPr>
          <w:rFonts w:ascii="Arial" w:hAnsi="Arial" w:cs="Arial"/>
        </w:rPr>
      </w:pPr>
      <w:r w:rsidRPr="006036B5">
        <w:rPr>
          <w:rFonts w:ascii="Arial" w:hAnsi="Arial" w:cs="Arial"/>
        </w:rPr>
        <w:t xml:space="preserve">how, why and under what circumstances the outcome has changed </w:t>
      </w:r>
    </w:p>
    <w:p w14:paraId="0F216BD4" w14:textId="77777777" w:rsidR="0081126A" w:rsidRPr="006036B5" w:rsidRDefault="0081126A" w:rsidP="006036B5">
      <w:pPr>
        <w:pStyle w:val="ListParagraph"/>
        <w:numPr>
          <w:ilvl w:val="0"/>
          <w:numId w:val="4"/>
        </w:numPr>
        <w:autoSpaceDE w:val="0"/>
        <w:autoSpaceDN w:val="0"/>
        <w:spacing w:before="240" w:after="120" w:line="276" w:lineRule="auto"/>
        <w:rPr>
          <w:rFonts w:ascii="Arial" w:hAnsi="Arial" w:cs="Arial"/>
        </w:rPr>
      </w:pPr>
      <w:r w:rsidRPr="006036B5">
        <w:rPr>
          <w:rFonts w:ascii="Arial" w:hAnsi="Arial" w:cs="Arial"/>
        </w:rPr>
        <w:t xml:space="preserve">contributions to the progress towards or achievement of the outcome, and </w:t>
      </w:r>
    </w:p>
    <w:p w14:paraId="103253F9" w14:textId="77777777" w:rsidR="0081126A" w:rsidRPr="006036B5" w:rsidRDefault="0081126A" w:rsidP="006036B5">
      <w:pPr>
        <w:pStyle w:val="ListParagraph"/>
        <w:numPr>
          <w:ilvl w:val="0"/>
          <w:numId w:val="4"/>
        </w:numPr>
        <w:autoSpaceDE w:val="0"/>
        <w:autoSpaceDN w:val="0"/>
        <w:spacing w:before="240" w:after="120" w:line="276" w:lineRule="auto"/>
        <w:rPr>
          <w:rFonts w:ascii="Arial" w:hAnsi="Arial" w:cs="Arial"/>
        </w:rPr>
      </w:pPr>
      <w:r w:rsidRPr="006036B5">
        <w:rPr>
          <w:rFonts w:ascii="Arial" w:hAnsi="Arial" w:cs="Arial"/>
        </w:rPr>
        <w:t>strategies employed in pursuing the outcome</w:t>
      </w:r>
    </w:p>
    <w:p w14:paraId="75CC3485" w14:textId="75806AA1" w:rsidR="0081126A" w:rsidRPr="006036B5" w:rsidRDefault="0081126A" w:rsidP="0081126A">
      <w:pPr>
        <w:spacing w:before="240" w:after="120" w:line="276" w:lineRule="auto"/>
        <w:rPr>
          <w:rFonts w:ascii="Arial" w:hAnsi="Arial" w:cs="Arial"/>
        </w:rPr>
      </w:pPr>
      <w:r w:rsidRPr="006036B5">
        <w:rPr>
          <w:rFonts w:ascii="Arial" w:hAnsi="Arial" w:cs="Arial"/>
        </w:rPr>
        <w:t>As well as planned changes, projects often produce outcomes that are unexpected, so it is important that information is collected in a way that that can provide evidence of this. Longer-term outcomes may often be less easy to evaluate than intermediate ones. The CRMP provide a service which is a link in a chain of services, or part of a multi-</w:t>
      </w:r>
      <w:r w:rsidR="003E7EBA" w:rsidRPr="006036B5">
        <w:rPr>
          <w:rFonts w:ascii="Arial" w:hAnsi="Arial" w:cs="Arial"/>
        </w:rPr>
        <w:t>functional agency</w:t>
      </w:r>
      <w:r w:rsidRPr="006036B5">
        <w:rPr>
          <w:rFonts w:ascii="Arial" w:hAnsi="Arial" w:cs="Arial"/>
        </w:rPr>
        <w:t xml:space="preserve"> intervention. For these processes, final outcomes in one part (such as Hazard Identification) may be intermediate outcomes as part of the </w:t>
      </w:r>
      <w:r w:rsidR="003E7EBA" w:rsidRPr="006036B5">
        <w:rPr>
          <w:rFonts w:ascii="Arial" w:hAnsi="Arial" w:cs="Arial"/>
        </w:rPr>
        <w:t>whole CRMP</w:t>
      </w:r>
      <w:r w:rsidRPr="006036B5">
        <w:rPr>
          <w:rFonts w:ascii="Arial" w:hAnsi="Arial" w:cs="Arial"/>
        </w:rPr>
        <w:t xml:space="preserve">. </w:t>
      </w:r>
    </w:p>
    <w:p w14:paraId="3607D3F1" w14:textId="201F5A4B" w:rsidR="0081126A" w:rsidRPr="006036B5" w:rsidRDefault="0081126A" w:rsidP="0081126A">
      <w:pPr>
        <w:spacing w:before="240" w:after="120" w:line="276" w:lineRule="auto"/>
        <w:rPr>
          <w:rFonts w:ascii="Arial" w:hAnsi="Arial" w:cs="Arial"/>
        </w:rPr>
      </w:pPr>
      <w:r w:rsidRPr="006036B5">
        <w:rPr>
          <w:rFonts w:ascii="Arial" w:eastAsia="Calibri" w:hAnsi="Arial" w:cs="Arial"/>
          <w:noProof/>
          <w:color w:val="44546A" w:themeColor="text2"/>
        </w:rPr>
        <mc:AlternateContent>
          <mc:Choice Requires="wps">
            <w:drawing>
              <wp:anchor distT="0" distB="0" distL="114300" distR="114300" simplePos="0" relativeHeight="251659264" behindDoc="0" locked="0" layoutInCell="1" allowOverlap="1" wp14:anchorId="39BFED94" wp14:editId="52D713CC">
                <wp:simplePos x="0" y="0"/>
                <wp:positionH relativeFrom="column">
                  <wp:posOffset>0</wp:posOffset>
                </wp:positionH>
                <wp:positionV relativeFrom="paragraph">
                  <wp:posOffset>148590</wp:posOffset>
                </wp:positionV>
                <wp:extent cx="5372100" cy="1136650"/>
                <wp:effectExtent l="0" t="0" r="0" b="6350"/>
                <wp:wrapThrough wrapText="bothSides">
                  <wp:wrapPolygon edited="0">
                    <wp:start x="0" y="0"/>
                    <wp:lineTo x="0" y="21359"/>
                    <wp:lineTo x="21523" y="21359"/>
                    <wp:lineTo x="21523"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136650"/>
                        </a:xfrm>
                        <a:prstGeom prst="rect">
                          <a:avLst/>
                        </a:prstGeom>
                        <a:solidFill>
                          <a:schemeClr val="accent1">
                            <a:lumMod val="20000"/>
                            <a:lumOff val="80000"/>
                          </a:schemeClr>
                        </a:solidFill>
                        <a:ln w="6350">
                          <a:noFill/>
                        </a:ln>
                      </wps:spPr>
                      <wps:txbx>
                        <w:txbxContent>
                          <w:p w14:paraId="04304767" w14:textId="77777777" w:rsidR="0081126A" w:rsidRPr="006036B5" w:rsidRDefault="0081126A" w:rsidP="006036B5">
                            <w:pPr>
                              <w:spacing w:before="240" w:after="120" w:line="276" w:lineRule="auto"/>
                              <w:rPr>
                                <w:rFonts w:ascii="Arial" w:hAnsi="Arial" w:cs="Arial"/>
                                <w:b/>
                                <w:bCs/>
                                <w:iCs/>
                                <w:color w:val="000000" w:themeColor="text1"/>
                              </w:rPr>
                            </w:pPr>
                            <w:r w:rsidRPr="006036B5">
                              <w:rPr>
                                <w:rFonts w:ascii="Arial" w:hAnsi="Arial" w:cs="Arial"/>
                                <w:b/>
                                <w:bCs/>
                                <w:iCs/>
                                <w:color w:val="000000" w:themeColor="text1"/>
                              </w:rPr>
                              <w:t>Key consideration</w:t>
                            </w:r>
                          </w:p>
                          <w:p w14:paraId="4B2FE4C1" w14:textId="77777777" w:rsidR="0081126A" w:rsidRPr="006036B5" w:rsidRDefault="0081126A" w:rsidP="0081126A">
                            <w:pPr>
                              <w:rPr>
                                <w:rFonts w:ascii="Arial" w:hAnsi="Arial" w:cs="Arial"/>
                                <w:iCs/>
                              </w:rPr>
                            </w:pPr>
                            <w:r w:rsidRPr="006036B5">
                              <w:rPr>
                                <w:rFonts w:ascii="Arial" w:hAnsi="Arial" w:cs="Arial"/>
                                <w:iCs/>
                              </w:rPr>
                              <w:t>Outcome indicators measure the results generated by programme outputs. They often correspond to any change in the behaviour of people or of organisations as a result of the project/programme.</w:t>
                            </w:r>
                          </w:p>
                          <w:p w14:paraId="07678BA5" w14:textId="77777777" w:rsidR="0081126A" w:rsidRDefault="0081126A" w:rsidP="0081126A">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BFED94" id="_x0000_t202" coordsize="21600,21600" o:spt="202" path="m,l,21600r21600,l21600,xe">
                <v:stroke joinstyle="miter"/>
                <v:path gradientshapeok="t" o:connecttype="rect"/>
              </v:shapetype>
              <v:shape id="Text Box 28" o:spid="_x0000_s1026" type="#_x0000_t202" style="position:absolute;margin-left:0;margin-top:11.7pt;width:423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" fillcolor="#d9e2f3 [660]" stroked="f" strokeweight=".5pt">
                <v:textbox>
                  <w:txbxContent>
                    <w:p w14:paraId="04304767" w14:textId="77777777" w:rsidR="0081126A" w:rsidRPr="006036B5" w:rsidRDefault="0081126A" w:rsidP="006036B5">
                      <w:pPr>
                        <w:spacing w:before="240" w:after="120" w:line="276" w:lineRule="auto"/>
                        <w:rPr>
                          <w:rFonts w:ascii="Arial" w:hAnsi="Arial" w:cs="Arial"/>
                          <w:b/>
                          <w:bCs/>
                          <w:iCs/>
                          <w:color w:val="000000" w:themeColor="text1"/>
                        </w:rPr>
                      </w:pPr>
                      <w:r w:rsidRPr="006036B5">
                        <w:rPr>
                          <w:rFonts w:ascii="Arial" w:hAnsi="Arial" w:cs="Arial"/>
                          <w:b/>
                          <w:bCs/>
                          <w:iCs/>
                          <w:color w:val="000000" w:themeColor="text1"/>
                        </w:rPr>
                        <w:t>Key consideration</w:t>
                      </w:r>
                    </w:p>
                    <w:p w14:paraId="4B2FE4C1" w14:textId="77777777" w:rsidR="0081126A" w:rsidRPr="006036B5" w:rsidRDefault="0081126A" w:rsidP="0081126A">
                      <w:pPr>
                        <w:rPr>
                          <w:rFonts w:ascii="Arial" w:hAnsi="Arial" w:cs="Arial"/>
                          <w:iCs/>
                        </w:rPr>
                      </w:pPr>
                      <w:r w:rsidRPr="006036B5">
                        <w:rPr>
                          <w:rFonts w:ascii="Arial" w:hAnsi="Arial" w:cs="Arial"/>
                          <w:iCs/>
                        </w:rPr>
                        <w:t>Outcome indicators measure the results generated by programme outputs. They often correspond to any change in the behaviour of people or of organisations as a result of the project/programme.</w:t>
                      </w:r>
                    </w:p>
                    <w:p w14:paraId="07678BA5" w14:textId="77777777" w:rsidR="0081126A" w:rsidRDefault="0081126A" w:rsidP="0081126A">
                      <w:pPr>
                        <w:spacing w:after="0" w:line="276" w:lineRule="auto"/>
                      </w:pPr>
                    </w:p>
                  </w:txbxContent>
                </v:textbox>
                <w10:wrap type="through"/>
              </v:shape>
            </w:pict>
          </mc:Fallback>
        </mc:AlternateContent>
      </w:r>
    </w:p>
    <w:p w14:paraId="655AA7AE" w14:textId="77777777" w:rsidR="0081126A" w:rsidRPr="006036B5" w:rsidRDefault="0081126A" w:rsidP="0081126A">
      <w:pPr>
        <w:spacing w:before="240" w:after="120" w:line="276" w:lineRule="auto"/>
        <w:rPr>
          <w:rFonts w:ascii="Arial" w:hAnsi="Arial" w:cs="Arial"/>
        </w:rPr>
      </w:pPr>
    </w:p>
    <w:p w14:paraId="61DFA3F6" w14:textId="77777777" w:rsidR="0081126A" w:rsidRPr="006036B5" w:rsidRDefault="0081126A" w:rsidP="0081126A">
      <w:pPr>
        <w:spacing w:before="240" w:after="120" w:line="276" w:lineRule="auto"/>
        <w:rPr>
          <w:rFonts w:ascii="Arial" w:hAnsi="Arial" w:cs="Arial"/>
        </w:rPr>
      </w:pPr>
    </w:p>
    <w:p w14:paraId="5BA207D5" w14:textId="77777777" w:rsidR="0081126A" w:rsidRPr="006036B5" w:rsidRDefault="0081126A" w:rsidP="0081126A">
      <w:pPr>
        <w:spacing w:before="240" w:after="120" w:line="276" w:lineRule="auto"/>
        <w:rPr>
          <w:rFonts w:ascii="Arial" w:hAnsi="Arial" w:cs="Arial"/>
        </w:rPr>
      </w:pPr>
    </w:p>
    <w:p w14:paraId="72134CB2" w14:textId="77777777" w:rsidR="0081126A" w:rsidRPr="006036B5" w:rsidRDefault="0081126A" w:rsidP="0081126A">
      <w:pPr>
        <w:pStyle w:val="Heading3"/>
        <w:rPr>
          <w:rFonts w:ascii="Arial" w:hAnsi="Arial" w:cs="Arial"/>
          <w:color w:val="1F3864" w:themeColor="accent1" w:themeShade="80"/>
          <w:sz w:val="22"/>
          <w:szCs w:val="22"/>
        </w:rPr>
      </w:pPr>
      <w:bookmarkStart w:id="1" w:name="_Toc87436079"/>
      <w:r w:rsidRPr="006036B5">
        <w:rPr>
          <w:rFonts w:ascii="Arial" w:hAnsi="Arial" w:cs="Arial"/>
          <w:color w:val="1F3864" w:themeColor="accent1" w:themeShade="80"/>
          <w:sz w:val="22"/>
          <w:szCs w:val="22"/>
        </w:rPr>
        <w:t>Impact Evaluation</w:t>
      </w:r>
      <w:bookmarkEnd w:id="1"/>
      <w:r w:rsidRPr="006036B5">
        <w:rPr>
          <w:rFonts w:ascii="Arial" w:hAnsi="Arial" w:cs="Arial"/>
          <w:color w:val="1F3864" w:themeColor="accent1" w:themeShade="80"/>
          <w:sz w:val="22"/>
          <w:szCs w:val="22"/>
        </w:rPr>
        <w:t xml:space="preserve"> </w:t>
      </w:r>
    </w:p>
    <w:p w14:paraId="69722C17" w14:textId="50DE7CAC" w:rsidR="0081126A" w:rsidRPr="006036B5" w:rsidRDefault="0081126A" w:rsidP="0081126A">
      <w:pPr>
        <w:spacing w:before="240" w:after="120" w:line="276" w:lineRule="auto"/>
        <w:rPr>
          <w:rFonts w:ascii="Arial" w:hAnsi="Arial" w:cs="Arial"/>
          <w:color w:val="000000" w:themeColor="text1"/>
        </w:rPr>
      </w:pPr>
      <w:r w:rsidRPr="006036B5">
        <w:rPr>
          <w:rFonts w:ascii="Arial" w:hAnsi="Arial" w:cs="Arial"/>
          <w:b/>
          <w:bCs/>
          <w:iCs/>
          <w:color w:val="000000"/>
        </w:rPr>
        <w:t>Impact evaluations</w:t>
      </w:r>
      <w:r w:rsidRPr="006036B5">
        <w:rPr>
          <w:rFonts w:ascii="Arial" w:hAnsi="Arial" w:cs="Arial"/>
          <w:color w:val="000000"/>
        </w:rPr>
        <w:t xml:space="preserve"> are designed to </w:t>
      </w:r>
      <w:r w:rsidRPr="006036B5">
        <w:rPr>
          <w:rFonts w:ascii="Arial" w:hAnsi="Arial" w:cs="Arial"/>
          <w:color w:val="000000"/>
          <w:lang w:val="en-US"/>
        </w:rPr>
        <w:t>value the results of outcomes.</w:t>
      </w:r>
      <w:r w:rsidRPr="006036B5">
        <w:rPr>
          <w:rFonts w:ascii="Arial" w:hAnsi="Arial" w:cs="Arial"/>
          <w:color w:val="000000" w:themeColor="text1"/>
        </w:rPr>
        <w:t xml:space="preserve"> For example, if an intended outcome from ‘Hazard Identification’ is to </w:t>
      </w:r>
      <w:r w:rsidR="003E7EBA" w:rsidRPr="006036B5">
        <w:rPr>
          <w:rFonts w:ascii="Arial" w:hAnsi="Arial" w:cs="Arial"/>
          <w:color w:val="000000" w:themeColor="text1"/>
        </w:rPr>
        <w:t>mitigate the</w:t>
      </w:r>
      <w:r w:rsidRPr="006036B5">
        <w:rPr>
          <w:rFonts w:ascii="Arial" w:hAnsi="Arial" w:cs="Arial"/>
          <w:color w:val="000000" w:themeColor="text1"/>
        </w:rPr>
        <w:t xml:space="preserve"> risk to a vulnerable group (the outcome), the impact might be that less people from that vulnerable groups are hospitalised, something that can be monetised in terms of less cost to the NHS (impact).</w:t>
      </w:r>
    </w:p>
    <w:p w14:paraId="5C12700E" w14:textId="77777777" w:rsidR="0081126A" w:rsidRPr="006036B5" w:rsidRDefault="0081126A" w:rsidP="0081126A">
      <w:pPr>
        <w:spacing w:before="240" w:after="120" w:line="276" w:lineRule="auto"/>
        <w:rPr>
          <w:rFonts w:ascii="Arial" w:hAnsi="Arial" w:cs="Arial"/>
          <w:color w:val="000000"/>
          <w:lang w:val="en-US"/>
        </w:rPr>
      </w:pPr>
      <w:r w:rsidRPr="006036B5">
        <w:rPr>
          <w:rFonts w:ascii="Arial" w:hAnsi="Arial" w:cs="Arial"/>
          <w:color w:val="000000"/>
          <w:lang w:val="en-US"/>
        </w:rPr>
        <w:t>Impact evaluations assist with:</w:t>
      </w:r>
    </w:p>
    <w:p w14:paraId="4A61B309" w14:textId="77777777" w:rsidR="0081126A" w:rsidRPr="006036B5" w:rsidRDefault="0081126A" w:rsidP="006036B5">
      <w:pPr>
        <w:numPr>
          <w:ilvl w:val="0"/>
          <w:numId w:val="5"/>
        </w:numPr>
        <w:spacing w:before="120" w:after="120" w:line="240" w:lineRule="auto"/>
        <w:rPr>
          <w:rFonts w:ascii="Arial" w:hAnsi="Arial" w:cs="Arial"/>
          <w:color w:val="000000"/>
        </w:rPr>
      </w:pPr>
      <w:r w:rsidRPr="006036B5">
        <w:rPr>
          <w:rFonts w:ascii="Arial" w:hAnsi="Arial" w:cs="Arial"/>
          <w:color w:val="000000"/>
          <w:lang w:val="en-US"/>
        </w:rPr>
        <w:t>assessing outcomes for groups directly and indirectly affected by projects and processes</w:t>
      </w:r>
    </w:p>
    <w:p w14:paraId="211E33F7" w14:textId="77777777" w:rsidR="0081126A" w:rsidRPr="006036B5" w:rsidRDefault="0081126A" w:rsidP="006036B5">
      <w:pPr>
        <w:numPr>
          <w:ilvl w:val="0"/>
          <w:numId w:val="5"/>
        </w:numPr>
        <w:spacing w:before="120" w:after="120" w:line="240" w:lineRule="auto"/>
        <w:rPr>
          <w:rFonts w:ascii="Arial" w:hAnsi="Arial" w:cs="Arial"/>
          <w:color w:val="000000"/>
        </w:rPr>
      </w:pPr>
      <w:r w:rsidRPr="006036B5">
        <w:rPr>
          <w:rFonts w:ascii="Arial" w:hAnsi="Arial" w:cs="Arial"/>
          <w:color w:val="000000"/>
          <w:lang w:val="en-US"/>
        </w:rPr>
        <w:t>providing an explanation of how the outcomes come about and how they vary in different contexts</w:t>
      </w:r>
    </w:p>
    <w:p w14:paraId="1EBC6073" w14:textId="77777777" w:rsidR="0081126A" w:rsidRPr="006036B5" w:rsidRDefault="0081126A" w:rsidP="006036B5">
      <w:pPr>
        <w:numPr>
          <w:ilvl w:val="0"/>
          <w:numId w:val="5"/>
        </w:numPr>
        <w:spacing w:before="120" w:after="120" w:line="240" w:lineRule="auto"/>
        <w:rPr>
          <w:rFonts w:ascii="Arial" w:hAnsi="Arial" w:cs="Arial"/>
          <w:color w:val="000000"/>
        </w:rPr>
      </w:pPr>
      <w:r w:rsidRPr="006036B5">
        <w:rPr>
          <w:rFonts w:ascii="Arial" w:hAnsi="Arial" w:cs="Arial"/>
          <w:color w:val="000000"/>
          <w:lang w:val="en-US"/>
        </w:rPr>
        <w:t>providing evidence on the impact and economic and social value generated by projects, and</w:t>
      </w:r>
    </w:p>
    <w:p w14:paraId="3BCCEDD3" w14:textId="77777777" w:rsidR="0081126A" w:rsidRPr="006036B5" w:rsidRDefault="0081126A" w:rsidP="006036B5">
      <w:pPr>
        <w:numPr>
          <w:ilvl w:val="0"/>
          <w:numId w:val="5"/>
        </w:numPr>
        <w:spacing w:before="120" w:after="120" w:line="240" w:lineRule="auto"/>
        <w:rPr>
          <w:rFonts w:ascii="Arial" w:hAnsi="Arial" w:cs="Arial"/>
          <w:color w:val="000000"/>
        </w:rPr>
      </w:pPr>
      <w:r w:rsidRPr="006036B5">
        <w:rPr>
          <w:rFonts w:ascii="Arial" w:hAnsi="Arial" w:cs="Arial"/>
          <w:color w:val="000000"/>
          <w:lang w:val="en-US"/>
        </w:rPr>
        <w:lastRenderedPageBreak/>
        <w:t>ensuring robustness and sensitivity</w:t>
      </w:r>
    </w:p>
    <w:p w14:paraId="3FCC8D85" w14:textId="77777777" w:rsidR="0081126A" w:rsidRPr="006036B5" w:rsidRDefault="0081126A" w:rsidP="0081126A">
      <w:pPr>
        <w:spacing w:before="240" w:after="120" w:line="276" w:lineRule="auto"/>
        <w:rPr>
          <w:rFonts w:ascii="Arial" w:hAnsi="Arial" w:cs="Arial"/>
          <w:color w:val="000000"/>
        </w:rPr>
      </w:pPr>
      <w:r w:rsidRPr="006036B5">
        <w:rPr>
          <w:rFonts w:ascii="Arial" w:hAnsi="Arial" w:cs="Arial"/>
          <w:bCs/>
          <w:iCs/>
          <w:color w:val="000000"/>
        </w:rPr>
        <w:t xml:space="preserve">Essentially this involves </w:t>
      </w:r>
      <w:r w:rsidRPr="006036B5">
        <w:rPr>
          <w:rFonts w:ascii="Arial" w:hAnsi="Arial" w:cs="Arial"/>
          <w:bCs/>
          <w:color w:val="000000"/>
        </w:rPr>
        <w:t>comparison with:</w:t>
      </w:r>
      <w:r w:rsidRPr="006036B5">
        <w:rPr>
          <w:rFonts w:ascii="Arial" w:hAnsi="Arial" w:cs="Arial"/>
          <w:color w:val="000000"/>
        </w:rPr>
        <w:t xml:space="preserve"> </w:t>
      </w:r>
    </w:p>
    <w:p w14:paraId="255E074D" w14:textId="77777777" w:rsidR="0081126A" w:rsidRPr="006036B5" w:rsidRDefault="0081126A" w:rsidP="006036B5">
      <w:pPr>
        <w:numPr>
          <w:ilvl w:val="0"/>
          <w:numId w:val="6"/>
        </w:numPr>
        <w:spacing w:before="120" w:after="120" w:line="240" w:lineRule="auto"/>
        <w:rPr>
          <w:rFonts w:ascii="Arial" w:hAnsi="Arial" w:cs="Arial"/>
          <w:color w:val="000000"/>
        </w:rPr>
      </w:pPr>
      <w:r w:rsidRPr="006036B5">
        <w:rPr>
          <w:rFonts w:ascii="Arial" w:hAnsi="Arial" w:cs="Arial"/>
          <w:i/>
          <w:iCs/>
          <w:color w:val="000000"/>
        </w:rPr>
        <w:t>baselines</w:t>
      </w:r>
      <w:r w:rsidRPr="006036B5">
        <w:rPr>
          <w:rFonts w:ascii="Arial" w:hAnsi="Arial" w:cs="Arial"/>
          <w:color w:val="000000"/>
        </w:rPr>
        <w:t xml:space="preserve"> – the prevailing levels and trends that were identified prior to the project or processes commencing, this is especially relevant when reviewing a previous CRMP</w:t>
      </w:r>
    </w:p>
    <w:p w14:paraId="234AE29A" w14:textId="77777777" w:rsidR="0081126A" w:rsidRPr="006036B5" w:rsidRDefault="0081126A" w:rsidP="006036B5">
      <w:pPr>
        <w:numPr>
          <w:ilvl w:val="0"/>
          <w:numId w:val="6"/>
        </w:numPr>
        <w:spacing w:before="120" w:after="120" w:line="240" w:lineRule="auto"/>
        <w:rPr>
          <w:rFonts w:ascii="Arial" w:hAnsi="Arial" w:cs="Arial"/>
          <w:color w:val="000000"/>
        </w:rPr>
      </w:pPr>
      <w:r w:rsidRPr="006036B5">
        <w:rPr>
          <w:rFonts w:ascii="Arial" w:hAnsi="Arial" w:cs="Arial"/>
          <w:i/>
          <w:iCs/>
          <w:color w:val="000000"/>
        </w:rPr>
        <w:t>counterfactuals</w:t>
      </w:r>
      <w:r w:rsidRPr="006036B5">
        <w:rPr>
          <w:rFonts w:ascii="Arial" w:hAnsi="Arial" w:cs="Arial"/>
          <w:color w:val="000000"/>
        </w:rPr>
        <w:t xml:space="preserve"> – the levels and trends that might have been seen in the outcomes without the Strategic Framework being in place</w:t>
      </w:r>
    </w:p>
    <w:p w14:paraId="0AE3E851" w14:textId="77777777" w:rsidR="0081126A" w:rsidRPr="006036B5" w:rsidRDefault="0081126A" w:rsidP="006036B5">
      <w:pPr>
        <w:numPr>
          <w:ilvl w:val="0"/>
          <w:numId w:val="6"/>
        </w:numPr>
        <w:spacing w:before="120" w:after="120" w:line="240" w:lineRule="auto"/>
        <w:rPr>
          <w:rFonts w:ascii="Arial" w:hAnsi="Arial" w:cs="Arial"/>
          <w:color w:val="000000"/>
        </w:rPr>
      </w:pPr>
      <w:r w:rsidRPr="006036B5">
        <w:rPr>
          <w:rFonts w:ascii="Arial" w:hAnsi="Arial" w:cs="Arial"/>
          <w:i/>
          <w:iCs/>
          <w:color w:val="000000"/>
        </w:rPr>
        <w:t>further analysis of research evidence</w:t>
      </w:r>
      <w:r w:rsidRPr="006036B5">
        <w:rPr>
          <w:rFonts w:ascii="Arial" w:hAnsi="Arial" w:cs="Arial"/>
          <w:color w:val="000000"/>
        </w:rPr>
        <w:t>, secondary data sources and any benchmarks relating to the outcome and its drivers</w:t>
      </w:r>
    </w:p>
    <w:p w14:paraId="64543202" w14:textId="77777777" w:rsidR="0081126A" w:rsidRPr="006036B5" w:rsidRDefault="0081126A" w:rsidP="006036B5">
      <w:pPr>
        <w:numPr>
          <w:ilvl w:val="0"/>
          <w:numId w:val="6"/>
        </w:numPr>
        <w:spacing w:before="240" w:after="120" w:line="276" w:lineRule="auto"/>
        <w:rPr>
          <w:rFonts w:ascii="Arial" w:hAnsi="Arial" w:cs="Arial"/>
          <w:color w:val="000000"/>
        </w:rPr>
      </w:pPr>
      <w:r w:rsidRPr="006036B5">
        <w:rPr>
          <w:rFonts w:ascii="Arial" w:hAnsi="Arial" w:cs="Arial"/>
          <w:bCs/>
          <w:i/>
          <w:iCs/>
          <w:color w:val="000000"/>
        </w:rPr>
        <w:t>looking forward</w:t>
      </w:r>
      <w:r w:rsidRPr="006036B5">
        <w:rPr>
          <w:rFonts w:ascii="Arial" w:hAnsi="Arial" w:cs="Arial"/>
          <w:bCs/>
          <w:color w:val="000000"/>
        </w:rPr>
        <w:t xml:space="preserve"> in order to measure </w:t>
      </w:r>
      <w:r w:rsidRPr="006036B5">
        <w:rPr>
          <w:rFonts w:ascii="Arial" w:hAnsi="Arial" w:cs="Arial"/>
          <w:color w:val="000000"/>
        </w:rPr>
        <w:t>persistence effects; wider take-up; sustainability. This involves monitoring beyond a project’s lifetime to understand the actual ‘reach’ of the project, the ‘potential’ reach of the project (including such things as possible deployment to other areas), and future requirements in terms of things such as funding and environmental considerations.</w:t>
      </w:r>
    </w:p>
    <w:p w14:paraId="0D0F549D" w14:textId="65BEF829" w:rsidR="0081126A" w:rsidRPr="006036B5" w:rsidRDefault="0081126A" w:rsidP="0081126A">
      <w:pPr>
        <w:spacing w:before="240" w:after="120" w:line="276" w:lineRule="auto"/>
        <w:ind w:left="720"/>
        <w:rPr>
          <w:rFonts w:ascii="Arial" w:hAnsi="Arial" w:cs="Arial"/>
          <w:color w:val="000000"/>
        </w:rPr>
      </w:pPr>
      <w:r w:rsidRPr="006036B5">
        <w:rPr>
          <w:rFonts w:ascii="Arial" w:eastAsia="Calibri" w:hAnsi="Arial" w:cs="Arial"/>
          <w:noProof/>
          <w:color w:val="44546A" w:themeColor="text2"/>
        </w:rPr>
        <mc:AlternateContent>
          <mc:Choice Requires="wps">
            <w:drawing>
              <wp:anchor distT="0" distB="0" distL="114300" distR="114300" simplePos="0" relativeHeight="251660288" behindDoc="0" locked="0" layoutInCell="1" allowOverlap="1" wp14:anchorId="130A10B9" wp14:editId="6B8844A9">
                <wp:simplePos x="0" y="0"/>
                <wp:positionH relativeFrom="column">
                  <wp:posOffset>0</wp:posOffset>
                </wp:positionH>
                <wp:positionV relativeFrom="paragraph">
                  <wp:posOffset>177800</wp:posOffset>
                </wp:positionV>
                <wp:extent cx="5372100" cy="1371600"/>
                <wp:effectExtent l="0" t="0" r="0" b="0"/>
                <wp:wrapThrough wrapText="bothSides">
                  <wp:wrapPolygon edited="0">
                    <wp:start x="0" y="0"/>
                    <wp:lineTo x="0" y="21300"/>
                    <wp:lineTo x="21523" y="21300"/>
                    <wp:lineTo x="21523"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371600"/>
                        </a:xfrm>
                        <a:prstGeom prst="rect">
                          <a:avLst/>
                        </a:prstGeom>
                        <a:solidFill>
                          <a:schemeClr val="accent1">
                            <a:lumMod val="20000"/>
                            <a:lumOff val="80000"/>
                          </a:schemeClr>
                        </a:solidFill>
                        <a:ln w="6350">
                          <a:noFill/>
                        </a:ln>
                      </wps:spPr>
                      <wps:txbx>
                        <w:txbxContent>
                          <w:p w14:paraId="7D589055" w14:textId="5EBAD3DE" w:rsidR="0081126A" w:rsidRPr="006036B5" w:rsidRDefault="0081126A" w:rsidP="006036B5">
                            <w:pPr>
                              <w:spacing w:before="240" w:after="120" w:line="276" w:lineRule="auto"/>
                              <w:rPr>
                                <w:rFonts w:ascii="Arial" w:hAnsi="Arial" w:cs="Arial"/>
                                <w:b/>
                                <w:bCs/>
                                <w:iCs/>
                                <w:color w:val="000000" w:themeColor="text1"/>
                              </w:rPr>
                            </w:pPr>
                            <w:r w:rsidRPr="006036B5">
                              <w:rPr>
                                <w:rFonts w:ascii="Arial" w:hAnsi="Arial" w:cs="Arial"/>
                                <w:b/>
                                <w:bCs/>
                                <w:iCs/>
                                <w:color w:val="000000" w:themeColor="text1"/>
                              </w:rPr>
                              <w:t xml:space="preserve">Key </w:t>
                            </w:r>
                            <w:r w:rsidR="00FF08FC" w:rsidRPr="006036B5">
                              <w:rPr>
                                <w:rFonts w:ascii="Arial" w:hAnsi="Arial" w:cs="Arial"/>
                                <w:b/>
                                <w:bCs/>
                                <w:iCs/>
                                <w:color w:val="000000" w:themeColor="text1"/>
                              </w:rPr>
                              <w:t>consideration</w:t>
                            </w:r>
                          </w:p>
                          <w:p w14:paraId="49A606A3" w14:textId="77777777" w:rsidR="0081126A" w:rsidRPr="006036B5" w:rsidRDefault="0081126A" w:rsidP="0081126A">
                            <w:pPr>
                              <w:rPr>
                                <w:rFonts w:ascii="Arial" w:hAnsi="Arial" w:cs="Arial"/>
                                <w:iCs/>
                              </w:rPr>
                            </w:pPr>
                            <w:r w:rsidRPr="006036B5">
                              <w:rPr>
                                <w:rFonts w:ascii="Arial" w:hAnsi="Arial" w:cs="Arial"/>
                                <w:iCs/>
                              </w:rPr>
                              <w:t>Impact indicators measure the quality and quantity of results generated by project and programme outputs and outcomes, such as measurable change in quality of training provision, reduced incidence of absence, increased income for women, increased investment in training, decrease in drop-out from training provision.</w:t>
                            </w:r>
                          </w:p>
                          <w:p w14:paraId="01597B80" w14:textId="77777777" w:rsidR="0081126A" w:rsidRDefault="0081126A" w:rsidP="0081126A">
                            <w:pPr>
                              <w:spacing w:after="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0A10B9" id="Text Box 29" o:spid="_x0000_s1027" type="#_x0000_t202" style="position:absolute;left:0;text-align:left;margin-left:0;margin-top:14pt;width:423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" fillcolor="#d9e2f3 [660]" stroked="f" strokeweight=".5pt">
                <v:textbox>
                  <w:txbxContent>
                    <w:p w14:paraId="7D589055" w14:textId="5EBAD3DE" w:rsidR="0081126A" w:rsidRPr="006036B5" w:rsidRDefault="0081126A" w:rsidP="006036B5">
                      <w:pPr>
                        <w:spacing w:before="240" w:after="120" w:line="276" w:lineRule="auto"/>
                        <w:rPr>
                          <w:rFonts w:ascii="Arial" w:hAnsi="Arial" w:cs="Arial"/>
                          <w:b/>
                          <w:bCs/>
                          <w:iCs/>
                          <w:color w:val="000000" w:themeColor="text1"/>
                        </w:rPr>
                      </w:pPr>
                      <w:r w:rsidRPr="006036B5">
                        <w:rPr>
                          <w:rFonts w:ascii="Arial" w:hAnsi="Arial" w:cs="Arial"/>
                          <w:b/>
                          <w:bCs/>
                          <w:iCs/>
                          <w:color w:val="000000" w:themeColor="text1"/>
                        </w:rPr>
                        <w:t xml:space="preserve">Key </w:t>
                      </w:r>
                      <w:r w:rsidR="00FF08FC" w:rsidRPr="006036B5">
                        <w:rPr>
                          <w:rFonts w:ascii="Arial" w:hAnsi="Arial" w:cs="Arial"/>
                          <w:b/>
                          <w:bCs/>
                          <w:iCs/>
                          <w:color w:val="000000" w:themeColor="text1"/>
                        </w:rPr>
                        <w:t>consideration</w:t>
                      </w:r>
                    </w:p>
                    <w:p w14:paraId="49A606A3" w14:textId="77777777" w:rsidR="0081126A" w:rsidRPr="006036B5" w:rsidRDefault="0081126A" w:rsidP="0081126A">
                      <w:pPr>
                        <w:rPr>
                          <w:rFonts w:ascii="Arial" w:hAnsi="Arial" w:cs="Arial"/>
                          <w:iCs/>
                        </w:rPr>
                      </w:pPr>
                      <w:r w:rsidRPr="006036B5">
                        <w:rPr>
                          <w:rFonts w:ascii="Arial" w:hAnsi="Arial" w:cs="Arial"/>
                          <w:iCs/>
                        </w:rPr>
                        <w:t>Impact indicators measure the quality and quantity of results generated by project and programme outputs and outcomes, such as measurable change in quality of training provision, reduced incidence of absence, increased income for women, increased investment in training, decrease in drop-out from training provision.</w:t>
                      </w:r>
                    </w:p>
                    <w:p w14:paraId="01597B80" w14:textId="77777777" w:rsidR="0081126A" w:rsidRDefault="0081126A" w:rsidP="0081126A">
                      <w:pPr>
                        <w:spacing w:after="0" w:line="276" w:lineRule="auto"/>
                      </w:pPr>
                    </w:p>
                  </w:txbxContent>
                </v:textbox>
                <w10:wrap type="through"/>
              </v:shape>
            </w:pict>
          </mc:Fallback>
        </mc:AlternateContent>
      </w:r>
    </w:p>
    <w:p w14:paraId="202DD55E" w14:textId="77777777" w:rsidR="0081126A" w:rsidRPr="006036B5" w:rsidRDefault="0081126A" w:rsidP="0081126A">
      <w:pPr>
        <w:spacing w:before="240" w:after="120" w:line="276" w:lineRule="auto"/>
        <w:rPr>
          <w:rFonts w:ascii="Arial" w:hAnsi="Arial" w:cs="Arial"/>
          <w:iCs/>
          <w:color w:val="000000" w:themeColor="text1"/>
        </w:rPr>
      </w:pPr>
    </w:p>
    <w:p w14:paraId="195F31D2" w14:textId="77777777" w:rsidR="0081126A" w:rsidRPr="006036B5" w:rsidRDefault="0081126A" w:rsidP="0081126A">
      <w:pPr>
        <w:spacing w:before="240" w:after="120" w:line="276" w:lineRule="auto"/>
        <w:rPr>
          <w:rFonts w:ascii="Arial" w:hAnsi="Arial" w:cs="Arial"/>
          <w:iCs/>
          <w:color w:val="000000" w:themeColor="text1"/>
        </w:rPr>
      </w:pPr>
    </w:p>
    <w:p w14:paraId="74070161" w14:textId="77777777" w:rsidR="0081126A" w:rsidRPr="006036B5" w:rsidRDefault="0081126A" w:rsidP="0081126A">
      <w:pPr>
        <w:spacing w:before="240" w:after="120" w:line="276" w:lineRule="auto"/>
        <w:rPr>
          <w:rFonts w:ascii="Arial" w:hAnsi="Arial" w:cs="Arial"/>
          <w:iCs/>
          <w:color w:val="000000" w:themeColor="text1"/>
        </w:rPr>
      </w:pPr>
    </w:p>
    <w:p w14:paraId="46E2D7F8" w14:textId="77777777" w:rsidR="0081126A" w:rsidRDefault="0081126A"/>
    <w:sectPr w:rsidR="00811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3EBB"/>
    <w:multiLevelType w:val="hybridMultilevel"/>
    <w:tmpl w:val="D5467A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9A2EFD"/>
    <w:multiLevelType w:val="hybridMultilevel"/>
    <w:tmpl w:val="B31CE9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8F6AD3"/>
    <w:multiLevelType w:val="hybridMultilevel"/>
    <w:tmpl w:val="91A83E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20BB6"/>
    <w:multiLevelType w:val="hybridMultilevel"/>
    <w:tmpl w:val="F5C8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D6FB4"/>
    <w:multiLevelType w:val="hybridMultilevel"/>
    <w:tmpl w:val="5BB81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284CA9"/>
    <w:multiLevelType w:val="hybridMultilevel"/>
    <w:tmpl w:val="74B25E94"/>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325015822">
    <w:abstractNumId w:val="4"/>
  </w:num>
  <w:num w:numId="2" w16cid:durableId="1245068831">
    <w:abstractNumId w:val="5"/>
  </w:num>
  <w:num w:numId="3" w16cid:durableId="2028753966">
    <w:abstractNumId w:val="3"/>
  </w:num>
  <w:num w:numId="4" w16cid:durableId="756947262">
    <w:abstractNumId w:val="1"/>
  </w:num>
  <w:num w:numId="5" w16cid:durableId="1374161295">
    <w:abstractNumId w:val="0"/>
  </w:num>
  <w:num w:numId="6" w16cid:durableId="1835488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A"/>
    <w:rsid w:val="00281729"/>
    <w:rsid w:val="00296C82"/>
    <w:rsid w:val="003E7EBA"/>
    <w:rsid w:val="00422C00"/>
    <w:rsid w:val="006036B5"/>
    <w:rsid w:val="00624992"/>
    <w:rsid w:val="0081126A"/>
    <w:rsid w:val="00B4247F"/>
    <w:rsid w:val="00FF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D04A"/>
  <w15:chartTrackingRefBased/>
  <w15:docId w15:val="{DB048614-F4CF-4F0A-AEBC-290243EB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112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26A"/>
    <w:rPr>
      <w:rFonts w:asciiTheme="majorHAnsi" w:eastAsiaTheme="majorEastAsia" w:hAnsiTheme="majorHAnsi" w:cstheme="majorBidi"/>
      <w:color w:val="1F3763" w:themeColor="accent1" w:themeShade="7F"/>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1126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81126A"/>
  </w:style>
  <w:style w:type="character" w:styleId="CommentReference">
    <w:name w:val="annotation reference"/>
    <w:basedOn w:val="DefaultParagraphFont"/>
    <w:uiPriority w:val="99"/>
    <w:semiHidden/>
    <w:unhideWhenUsed/>
    <w:rsid w:val="0081126A"/>
    <w:rPr>
      <w:sz w:val="16"/>
      <w:szCs w:val="16"/>
    </w:rPr>
  </w:style>
  <w:style w:type="paragraph" w:styleId="CommentText">
    <w:name w:val="annotation text"/>
    <w:basedOn w:val="Normal"/>
    <w:link w:val="CommentTextChar"/>
    <w:uiPriority w:val="99"/>
    <w:unhideWhenUsed/>
    <w:rsid w:val="0081126A"/>
    <w:pPr>
      <w:spacing w:line="240" w:lineRule="auto"/>
    </w:pPr>
    <w:rPr>
      <w:sz w:val="20"/>
      <w:szCs w:val="20"/>
    </w:rPr>
  </w:style>
  <w:style w:type="character" w:customStyle="1" w:styleId="CommentTextChar">
    <w:name w:val="Comment Text Char"/>
    <w:basedOn w:val="DefaultParagraphFont"/>
    <w:link w:val="CommentText"/>
    <w:uiPriority w:val="99"/>
    <w:rsid w:val="0081126A"/>
    <w:rPr>
      <w:sz w:val="20"/>
      <w:szCs w:val="20"/>
    </w:rPr>
  </w:style>
  <w:style w:type="paragraph" w:styleId="BalloonText">
    <w:name w:val="Balloon Text"/>
    <w:basedOn w:val="Normal"/>
    <w:link w:val="BalloonTextChar"/>
    <w:uiPriority w:val="99"/>
    <w:semiHidden/>
    <w:unhideWhenUsed/>
    <w:rsid w:val="00811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D533D576CE24997D4B96336F11054" ma:contentTypeVersion="12" ma:contentTypeDescription="Create a new document." ma:contentTypeScope="" ma:versionID="8cb6e73a37c97417273095cbd41a542c">
  <xsd:schema xmlns:xsd="http://www.w3.org/2001/XMLSchema" xmlns:xs="http://www.w3.org/2001/XMLSchema" xmlns:p="http://schemas.microsoft.com/office/2006/metadata/properties" xmlns:ns2="3c6684c8-57ae-40bf-8888-a2d49c38a2fc" xmlns:ns3="efc295d5-4940-43b1-aa28-bd7d66881741" targetNamespace="http://schemas.microsoft.com/office/2006/metadata/properties" ma:root="true" ma:fieldsID="5bc98838a66d6e3cfe4acfa94921c9cd" ns2:_="" ns3:_="">
    <xsd:import namespace="3c6684c8-57ae-40bf-8888-a2d49c38a2fc"/>
    <xsd:import namespace="efc295d5-4940-43b1-aa28-bd7d668817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684c8-57ae-40bf-8888-a2d49c38a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e50ef28-99b3-468c-877a-52e04a70a63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95d5-4940-43b1-aa28-bd7d668817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f08059d-0b4d-4dcb-b0f6-6a0906a01c6a}" ma:internalName="TaxCatchAll" ma:showField="CatchAllData" ma:web="efc295d5-4940-43b1-aa28-bd7d668817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c295d5-4940-43b1-aa28-bd7d66881741" xsi:nil="true"/>
    <lcf76f155ced4ddcb4097134ff3c332f xmlns="3c6684c8-57ae-40bf-8888-a2d49c38a2fc">
      <Terms xmlns="http://schemas.microsoft.com/office/infopath/2007/PartnerControls"/>
    </lcf76f155ced4ddcb4097134ff3c332f>
    <SharedWithUsers xmlns="efc295d5-4940-43b1-aa28-bd7d66881741">
      <UserInfo>
        <DisplayName/>
        <AccountId xsi:nil="true"/>
        <AccountType/>
      </UserInfo>
    </SharedWithUsers>
  </documentManagement>
</p:properties>
</file>

<file path=customXml/itemProps1.xml><?xml version="1.0" encoding="utf-8"?>
<ds:datastoreItem xmlns:ds="http://schemas.openxmlformats.org/officeDocument/2006/customXml" ds:itemID="{BC257D67-0E13-45F3-B656-BFC1ACCD9200}"/>
</file>

<file path=customXml/itemProps2.xml><?xml version="1.0" encoding="utf-8"?>
<ds:datastoreItem xmlns:ds="http://schemas.openxmlformats.org/officeDocument/2006/customXml" ds:itemID="{ABB396B4-2942-4C9E-BBEC-3AD05F9191BB}"/>
</file>

<file path=customXml/itemProps3.xml><?xml version="1.0" encoding="utf-8"?>
<ds:datastoreItem xmlns:ds="http://schemas.openxmlformats.org/officeDocument/2006/customXml" ds:itemID="{063E862D-9B8E-46EB-9A9C-8802AE88DC7D}"/>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Parry</dc:creator>
  <cp:keywords/>
  <dc:description/>
  <cp:lastModifiedBy>Jon Parry</cp:lastModifiedBy>
  <cp:revision>5</cp:revision>
  <dcterms:created xsi:type="dcterms:W3CDTF">2022-01-11T13:56:00Z</dcterms:created>
  <dcterms:modified xsi:type="dcterms:W3CDTF">2022-05-31T12:49:00Z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0x0101002BF91F6360BDD04F89F0DFDA44A8C8B9</vt:lpwstr>
  </property>
  <property fmtid="{D5CDD505-2E9C-101B-9397-08002B2CF9AE}" pid="3" name="Order">
    <vt:r8>24400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