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EDE8" w14:textId="606643D3" w:rsidR="00673EAE" w:rsidRPr="00473475" w:rsidRDefault="00673EAE" w:rsidP="00673EAE">
      <w:pPr>
        <w:pStyle w:val="Heading4"/>
        <w:rPr>
          <w:color w:val="1F3864" w:themeColor="accent1" w:themeShade="80"/>
          <w:sz w:val="28"/>
          <w:szCs w:val="28"/>
        </w:rPr>
      </w:pPr>
      <w:r w:rsidRPr="00473475">
        <w:rPr>
          <w:color w:val="1F3864" w:themeColor="accent1" w:themeShade="80"/>
          <w:sz w:val="28"/>
          <w:szCs w:val="28"/>
        </w:rPr>
        <w:t xml:space="preserve">Annexe </w:t>
      </w:r>
      <w:r w:rsidR="00473475" w:rsidRPr="00473475">
        <w:rPr>
          <w:color w:val="1F3864" w:themeColor="accent1" w:themeShade="80"/>
          <w:sz w:val="28"/>
          <w:szCs w:val="28"/>
        </w:rPr>
        <w:t>Three</w:t>
      </w:r>
      <w:r w:rsidRPr="00473475">
        <w:rPr>
          <w:color w:val="1F3864" w:themeColor="accent1" w:themeShade="80"/>
          <w:sz w:val="28"/>
          <w:szCs w:val="28"/>
        </w:rPr>
        <w:t xml:space="preserve"> - Stakeholder map</w:t>
      </w:r>
    </w:p>
    <w:p w14:paraId="36B9939B" w14:textId="21967480" w:rsidR="00673EAE" w:rsidRDefault="00473475" w:rsidP="00673EAE">
      <w:pPr>
        <w:spacing w:before="24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template can be used to populate information regarding stakeholders. It should capture </w:t>
      </w:r>
      <w:r w:rsidR="00222183">
        <w:rPr>
          <w:sz w:val="24"/>
          <w:szCs w:val="24"/>
        </w:rPr>
        <w:t>stakeholder information (including lead contacts); state whether the stakeholder is internal or external</w:t>
      </w:r>
      <w:r w:rsidR="00DA1B95">
        <w:rPr>
          <w:sz w:val="24"/>
          <w:szCs w:val="24"/>
        </w:rPr>
        <w:t>; capture information on which elements of the CRMP strategic framework each stakeholder is contributing to</w:t>
      </w:r>
      <w:r w:rsidR="00DF56F4">
        <w:rPr>
          <w:sz w:val="24"/>
          <w:szCs w:val="24"/>
        </w:rPr>
        <w:t xml:space="preserve"> (it could be one, more than one or all of the framework)</w:t>
      </w:r>
      <w:r w:rsidR="00FB236B">
        <w:rPr>
          <w:sz w:val="24"/>
          <w:szCs w:val="24"/>
        </w:rPr>
        <w:t xml:space="preserve">; </w:t>
      </w:r>
      <w:r w:rsidR="00DF56F4">
        <w:rPr>
          <w:sz w:val="24"/>
          <w:szCs w:val="24"/>
        </w:rPr>
        <w:t>and what thei</w:t>
      </w:r>
      <w:r w:rsidR="00FB236B">
        <w:rPr>
          <w:sz w:val="24"/>
          <w:szCs w:val="24"/>
        </w:rPr>
        <w:t>r</w:t>
      </w:r>
      <w:r w:rsidR="00DF56F4">
        <w:rPr>
          <w:sz w:val="24"/>
          <w:szCs w:val="24"/>
        </w:rPr>
        <w:t xml:space="preserve"> </w:t>
      </w:r>
      <w:r w:rsidR="00FB236B">
        <w:rPr>
          <w:sz w:val="24"/>
          <w:szCs w:val="24"/>
        </w:rPr>
        <w:t xml:space="preserve">position is in terms of expected / actual contribution – e.g. are they being asked to respond to a consultation; are they being </w:t>
      </w:r>
      <w:r w:rsidR="0005670B">
        <w:rPr>
          <w:sz w:val="24"/>
          <w:szCs w:val="24"/>
        </w:rPr>
        <w:t>asked to develop evaluation tools; are they being asked to supply data etc.</w:t>
      </w:r>
      <w:r w:rsidR="00C612D4">
        <w:rPr>
          <w:sz w:val="24"/>
          <w:szCs w:val="24"/>
        </w:rPr>
        <w:t xml:space="preserve"> Two examples are provided.</w:t>
      </w:r>
    </w:p>
    <w:tbl>
      <w:tblPr>
        <w:tblStyle w:val="TableGrid"/>
        <w:tblW w:w="20407" w:type="dxa"/>
        <w:tblLook w:val="04A0" w:firstRow="1" w:lastRow="0" w:firstColumn="1" w:lastColumn="0" w:noHBand="0" w:noVBand="1"/>
      </w:tblPr>
      <w:tblGrid>
        <w:gridCol w:w="1389"/>
        <w:gridCol w:w="1033"/>
        <w:gridCol w:w="1396"/>
        <w:gridCol w:w="1314"/>
        <w:gridCol w:w="1663"/>
        <w:gridCol w:w="1410"/>
        <w:gridCol w:w="1104"/>
        <w:gridCol w:w="1487"/>
        <w:gridCol w:w="3097"/>
        <w:gridCol w:w="2135"/>
        <w:gridCol w:w="4379"/>
      </w:tblGrid>
      <w:tr w:rsidR="00847591" w:rsidRPr="00847591" w14:paraId="37FB24D8" w14:textId="75CD9682" w:rsidTr="00847591">
        <w:tc>
          <w:tcPr>
            <w:tcW w:w="1389" w:type="dxa"/>
            <w:vMerge w:val="restart"/>
            <w:shd w:val="clear" w:color="auto" w:fill="B4C6E7" w:themeFill="accent1" w:themeFillTint="66"/>
          </w:tcPr>
          <w:p w14:paraId="08606F3D" w14:textId="45784ECB" w:rsidR="009E4529" w:rsidRPr="00847591" w:rsidRDefault="009E4529" w:rsidP="00EB3271">
            <w:pPr>
              <w:spacing w:before="240" w:after="120" w:line="276" w:lineRule="auto"/>
              <w:jc w:val="center"/>
              <w:rPr>
                <w:rFonts w:cs="Arial"/>
                <w:color w:val="44546A" w:themeColor="text2"/>
              </w:rPr>
            </w:pPr>
            <w:r w:rsidRPr="00847591">
              <w:rPr>
                <w:color w:val="44546A" w:themeColor="text2"/>
              </w:rPr>
              <w:br w:type="page"/>
              <w:t>Stakeholder Information / contacts</w:t>
            </w:r>
          </w:p>
        </w:tc>
        <w:tc>
          <w:tcPr>
            <w:tcW w:w="1033" w:type="dxa"/>
            <w:vMerge w:val="restart"/>
            <w:shd w:val="clear" w:color="auto" w:fill="B4C6E7" w:themeFill="accent1" w:themeFillTint="66"/>
          </w:tcPr>
          <w:p w14:paraId="76982709" w14:textId="77777777" w:rsidR="009E4529" w:rsidRPr="00847591" w:rsidRDefault="009E4529" w:rsidP="00EB3271">
            <w:pPr>
              <w:spacing w:before="240" w:after="120" w:line="276" w:lineRule="auto"/>
              <w:jc w:val="center"/>
              <w:rPr>
                <w:rFonts w:cs="Arial"/>
                <w:color w:val="44546A" w:themeColor="text2"/>
              </w:rPr>
            </w:pPr>
            <w:r w:rsidRPr="00847591">
              <w:rPr>
                <w:rFonts w:cs="Arial"/>
                <w:color w:val="44546A" w:themeColor="text2"/>
              </w:rPr>
              <w:t>Internal / External</w:t>
            </w:r>
          </w:p>
        </w:tc>
        <w:tc>
          <w:tcPr>
            <w:tcW w:w="1396" w:type="dxa"/>
            <w:vMerge w:val="restart"/>
            <w:shd w:val="clear" w:color="auto" w:fill="B4C6E7" w:themeFill="accent1" w:themeFillTint="66"/>
          </w:tcPr>
          <w:p w14:paraId="461E8718" w14:textId="77777777" w:rsidR="009E4529" w:rsidRPr="00847591" w:rsidRDefault="009E4529" w:rsidP="00EB3271">
            <w:pPr>
              <w:spacing w:before="240" w:after="120" w:line="276" w:lineRule="auto"/>
              <w:jc w:val="center"/>
              <w:rPr>
                <w:rFonts w:cs="Arial"/>
                <w:color w:val="44546A" w:themeColor="text2"/>
              </w:rPr>
            </w:pPr>
            <w:r w:rsidRPr="00847591">
              <w:rPr>
                <w:rFonts w:cs="Arial"/>
                <w:color w:val="44546A" w:themeColor="text2"/>
              </w:rPr>
              <w:t>Stakeholder type – Project Team (PT) / Beneficiary (B), other (O)</w:t>
            </w:r>
          </w:p>
        </w:tc>
        <w:tc>
          <w:tcPr>
            <w:tcW w:w="12210" w:type="dxa"/>
            <w:gridSpan w:val="7"/>
            <w:shd w:val="clear" w:color="auto" w:fill="B4C6E7" w:themeFill="accent1" w:themeFillTint="66"/>
          </w:tcPr>
          <w:p w14:paraId="34F549BC" w14:textId="090593B6" w:rsidR="009E4529" w:rsidRPr="00847591" w:rsidRDefault="00DF56F4" w:rsidP="00EB3271">
            <w:pPr>
              <w:spacing w:before="240" w:after="120" w:line="276" w:lineRule="auto"/>
              <w:jc w:val="center"/>
              <w:rPr>
                <w:rFonts w:cs="Arial"/>
                <w:color w:val="44546A" w:themeColor="text2"/>
              </w:rPr>
            </w:pPr>
            <w:r>
              <w:rPr>
                <w:rFonts w:cs="Arial"/>
                <w:color w:val="44546A" w:themeColor="text2"/>
              </w:rPr>
              <w:t>Contribution</w:t>
            </w:r>
            <w:r w:rsidR="00FB236B">
              <w:rPr>
                <w:rFonts w:cs="Arial"/>
                <w:color w:val="44546A" w:themeColor="text2"/>
              </w:rPr>
              <w:t xml:space="preserve"> </w:t>
            </w:r>
            <w:r w:rsidR="009E4529" w:rsidRPr="00847591">
              <w:rPr>
                <w:rFonts w:cs="Arial"/>
                <w:color w:val="44546A" w:themeColor="text2"/>
              </w:rPr>
              <w:t xml:space="preserve">– consultation / support development of evaluation / request resources etc. </w:t>
            </w:r>
          </w:p>
        </w:tc>
        <w:tc>
          <w:tcPr>
            <w:tcW w:w="4379" w:type="dxa"/>
            <w:vMerge w:val="restart"/>
            <w:shd w:val="clear" w:color="auto" w:fill="B4C6E7" w:themeFill="accent1" w:themeFillTint="66"/>
          </w:tcPr>
          <w:p w14:paraId="411A854B" w14:textId="0BAADD81" w:rsidR="009E4529" w:rsidRPr="00847591" w:rsidRDefault="009E4529" w:rsidP="00EB3271">
            <w:pPr>
              <w:spacing w:before="240" w:after="120" w:line="276" w:lineRule="auto"/>
              <w:jc w:val="center"/>
              <w:rPr>
                <w:rFonts w:cs="Arial"/>
                <w:color w:val="44546A" w:themeColor="text2"/>
              </w:rPr>
            </w:pPr>
            <w:r w:rsidRPr="00847591">
              <w:rPr>
                <w:rFonts w:cs="Arial"/>
                <w:color w:val="44546A" w:themeColor="text2"/>
              </w:rPr>
              <w:t xml:space="preserve">Other information – e.g. </w:t>
            </w:r>
            <w:r w:rsidRPr="00847591">
              <w:rPr>
                <w:color w:val="44546A" w:themeColor="text2"/>
              </w:rPr>
              <w:t>relationship to the evaluation; expertise; expected use of the evaluation</w:t>
            </w:r>
          </w:p>
        </w:tc>
      </w:tr>
      <w:tr w:rsidR="00847591" w:rsidRPr="00847591" w14:paraId="5F5BC217" w14:textId="77777777" w:rsidTr="00847591">
        <w:tc>
          <w:tcPr>
            <w:tcW w:w="1389" w:type="dxa"/>
            <w:vMerge/>
          </w:tcPr>
          <w:p w14:paraId="21E7DBE9" w14:textId="77777777" w:rsidR="00847591" w:rsidRPr="00847591" w:rsidRDefault="00847591" w:rsidP="00EB327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033" w:type="dxa"/>
            <w:vMerge/>
          </w:tcPr>
          <w:p w14:paraId="56EC4CF7" w14:textId="77777777" w:rsidR="00847591" w:rsidRPr="00847591" w:rsidRDefault="00847591" w:rsidP="00EB327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396" w:type="dxa"/>
            <w:vMerge/>
          </w:tcPr>
          <w:p w14:paraId="425178F8" w14:textId="77777777" w:rsidR="00847591" w:rsidRPr="00847591" w:rsidRDefault="00847591" w:rsidP="00EB327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6978" w:type="dxa"/>
            <w:gridSpan w:val="5"/>
            <w:shd w:val="clear" w:color="auto" w:fill="D9E2F3" w:themeFill="accent1" w:themeFillTint="33"/>
          </w:tcPr>
          <w:p w14:paraId="081AA1EC" w14:textId="21226196" w:rsidR="00847591" w:rsidRPr="00847591" w:rsidRDefault="00847591" w:rsidP="00EB3271">
            <w:pPr>
              <w:spacing w:before="240" w:after="120" w:line="276" w:lineRule="auto"/>
              <w:jc w:val="center"/>
              <w:rPr>
                <w:b/>
                <w:bCs/>
              </w:rPr>
            </w:pPr>
            <w:r w:rsidRPr="00847591">
              <w:rPr>
                <w:rFonts w:cs="Arial"/>
                <w:b/>
                <w:bCs/>
                <w:i/>
                <w:iCs/>
                <w:color w:val="44546A" w:themeColor="text2"/>
              </w:rPr>
              <w:t>Data and Business Intelligence</w:t>
            </w:r>
          </w:p>
        </w:tc>
        <w:tc>
          <w:tcPr>
            <w:tcW w:w="3097" w:type="dxa"/>
            <w:vMerge w:val="restart"/>
            <w:shd w:val="clear" w:color="auto" w:fill="D9E2F3" w:themeFill="accent1" w:themeFillTint="33"/>
          </w:tcPr>
          <w:p w14:paraId="00C28646" w14:textId="7C6A50ED" w:rsidR="00847591" w:rsidRPr="00847591" w:rsidRDefault="00847591" w:rsidP="00EB3271">
            <w:pPr>
              <w:spacing w:before="240" w:after="120" w:line="276" w:lineRule="auto"/>
              <w:jc w:val="center"/>
              <w:rPr>
                <w:b/>
                <w:bCs/>
              </w:rPr>
            </w:pPr>
            <w:r w:rsidRPr="00847591">
              <w:rPr>
                <w:rFonts w:cs="Arial"/>
                <w:b/>
                <w:bCs/>
                <w:i/>
                <w:iCs/>
                <w:color w:val="44546A" w:themeColor="text2"/>
              </w:rPr>
              <w:t>Equality Impact Assessment</w:t>
            </w:r>
          </w:p>
        </w:tc>
        <w:tc>
          <w:tcPr>
            <w:tcW w:w="2135" w:type="dxa"/>
            <w:vMerge w:val="restart"/>
            <w:shd w:val="clear" w:color="auto" w:fill="D9E2F3" w:themeFill="accent1" w:themeFillTint="33"/>
          </w:tcPr>
          <w:p w14:paraId="1428572E" w14:textId="5F8390E6" w:rsidR="00847591" w:rsidRPr="00847591" w:rsidRDefault="00847591" w:rsidP="00EB3271">
            <w:pPr>
              <w:spacing w:before="240" w:after="120" w:line="276" w:lineRule="auto"/>
              <w:jc w:val="center"/>
              <w:rPr>
                <w:b/>
                <w:bCs/>
              </w:rPr>
            </w:pPr>
            <w:r w:rsidRPr="00847591">
              <w:rPr>
                <w:rFonts w:cs="Arial"/>
                <w:b/>
                <w:bCs/>
                <w:i/>
                <w:iCs/>
                <w:color w:val="44546A" w:themeColor="text2"/>
              </w:rPr>
              <w:t>Stakeholder Engagement</w:t>
            </w:r>
          </w:p>
        </w:tc>
        <w:tc>
          <w:tcPr>
            <w:tcW w:w="4379" w:type="dxa"/>
            <w:vMerge/>
          </w:tcPr>
          <w:p w14:paraId="6AA537D4" w14:textId="77777777" w:rsidR="00847591" w:rsidRPr="00847591" w:rsidRDefault="00847591" w:rsidP="00EB327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</w:tr>
      <w:tr w:rsidR="00847591" w:rsidRPr="00847591" w14:paraId="06F0A181" w14:textId="2D130557" w:rsidTr="00847591">
        <w:tc>
          <w:tcPr>
            <w:tcW w:w="1389" w:type="dxa"/>
            <w:vMerge/>
          </w:tcPr>
          <w:p w14:paraId="38C136CE" w14:textId="77777777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033" w:type="dxa"/>
            <w:vMerge/>
          </w:tcPr>
          <w:p w14:paraId="6760497C" w14:textId="77777777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396" w:type="dxa"/>
            <w:vMerge/>
          </w:tcPr>
          <w:p w14:paraId="73F01347" w14:textId="77777777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314" w:type="dxa"/>
            <w:shd w:val="clear" w:color="auto" w:fill="D9E2F3" w:themeFill="accent1" w:themeFillTint="33"/>
          </w:tcPr>
          <w:p w14:paraId="5C2086F3" w14:textId="7FE88737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847591">
              <w:t>Defining Scope</w:t>
            </w:r>
          </w:p>
        </w:tc>
        <w:tc>
          <w:tcPr>
            <w:tcW w:w="1663" w:type="dxa"/>
            <w:shd w:val="clear" w:color="auto" w:fill="D9E2F3" w:themeFill="accent1" w:themeFillTint="33"/>
          </w:tcPr>
          <w:p w14:paraId="66E5F15D" w14:textId="16984464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847591">
              <w:t>Hazard Identification</w:t>
            </w:r>
          </w:p>
        </w:tc>
        <w:tc>
          <w:tcPr>
            <w:tcW w:w="1410" w:type="dxa"/>
            <w:shd w:val="clear" w:color="auto" w:fill="D9E2F3" w:themeFill="accent1" w:themeFillTint="33"/>
          </w:tcPr>
          <w:p w14:paraId="1E697BDE" w14:textId="6A846A18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847591">
              <w:t>Risk Analysis</w:t>
            </w:r>
          </w:p>
        </w:tc>
        <w:tc>
          <w:tcPr>
            <w:tcW w:w="1104" w:type="dxa"/>
            <w:shd w:val="clear" w:color="auto" w:fill="D9E2F3" w:themeFill="accent1" w:themeFillTint="33"/>
          </w:tcPr>
          <w:p w14:paraId="4FC1A985" w14:textId="74E71CA4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847591">
              <w:t>Decision Making</w:t>
            </w:r>
          </w:p>
        </w:tc>
        <w:tc>
          <w:tcPr>
            <w:tcW w:w="1487" w:type="dxa"/>
            <w:shd w:val="clear" w:color="auto" w:fill="D9E2F3" w:themeFill="accent1" w:themeFillTint="33"/>
          </w:tcPr>
          <w:p w14:paraId="53914428" w14:textId="6142BE6E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D91CDC">
              <w:rPr>
                <w:rFonts w:cs="Arial"/>
              </w:rPr>
              <w:t>Evaluation</w:t>
            </w:r>
          </w:p>
        </w:tc>
        <w:tc>
          <w:tcPr>
            <w:tcW w:w="3097" w:type="dxa"/>
            <w:vMerge/>
            <w:shd w:val="clear" w:color="auto" w:fill="D9E2F3" w:themeFill="accent1" w:themeFillTint="33"/>
          </w:tcPr>
          <w:p w14:paraId="0CFF0515" w14:textId="066459DE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2135" w:type="dxa"/>
            <w:vMerge/>
            <w:shd w:val="clear" w:color="auto" w:fill="D9E2F3" w:themeFill="accent1" w:themeFillTint="33"/>
          </w:tcPr>
          <w:p w14:paraId="06C3D573" w14:textId="44EA25FA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4379" w:type="dxa"/>
            <w:vMerge/>
          </w:tcPr>
          <w:p w14:paraId="21E05666" w14:textId="77777777" w:rsidR="00847591" w:rsidRPr="00847591" w:rsidRDefault="00847591" w:rsidP="00847591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</w:tr>
      <w:tr w:rsidR="00847591" w:rsidRPr="00C612D4" w14:paraId="6C2C0AF0" w14:textId="7161EFE2" w:rsidTr="00E305B1">
        <w:tc>
          <w:tcPr>
            <w:tcW w:w="1389" w:type="dxa"/>
            <w:shd w:val="clear" w:color="auto" w:fill="FFF2CC" w:themeFill="accent4" w:themeFillTint="33"/>
          </w:tcPr>
          <w:p w14:paraId="587085B6" w14:textId="67766769" w:rsidR="00847591" w:rsidRPr="00C612D4" w:rsidRDefault="00D91CDC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C612D4">
              <w:rPr>
                <w:rFonts w:cs="Arial"/>
                <w:i/>
                <w:iCs/>
                <w:color w:val="44546A" w:themeColor="text2"/>
              </w:rPr>
              <w:t>General Public</w:t>
            </w:r>
          </w:p>
        </w:tc>
        <w:tc>
          <w:tcPr>
            <w:tcW w:w="1033" w:type="dxa"/>
            <w:shd w:val="clear" w:color="auto" w:fill="FFF2CC" w:themeFill="accent4" w:themeFillTint="33"/>
          </w:tcPr>
          <w:p w14:paraId="6FC68BA1" w14:textId="656FB4E3" w:rsidR="00847591" w:rsidRPr="00C612D4" w:rsidRDefault="00D91CDC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C612D4">
              <w:rPr>
                <w:rFonts w:cs="Arial"/>
                <w:i/>
                <w:iCs/>
                <w:color w:val="44546A" w:themeColor="text2"/>
              </w:rPr>
              <w:t>External</w:t>
            </w:r>
          </w:p>
        </w:tc>
        <w:tc>
          <w:tcPr>
            <w:tcW w:w="1396" w:type="dxa"/>
            <w:shd w:val="clear" w:color="auto" w:fill="FFF2CC" w:themeFill="accent4" w:themeFillTint="33"/>
          </w:tcPr>
          <w:p w14:paraId="2EE78AA3" w14:textId="706B2C1C" w:rsidR="00847591" w:rsidRPr="00C612D4" w:rsidRDefault="00D91CDC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C612D4">
              <w:rPr>
                <w:rFonts w:cs="Arial"/>
                <w:i/>
                <w:iCs/>
                <w:color w:val="44546A" w:themeColor="text2"/>
              </w:rPr>
              <w:t>B &amp; O</w:t>
            </w:r>
          </w:p>
        </w:tc>
        <w:tc>
          <w:tcPr>
            <w:tcW w:w="1314" w:type="dxa"/>
            <w:shd w:val="clear" w:color="auto" w:fill="FFF2CC" w:themeFill="accent4" w:themeFillTint="33"/>
          </w:tcPr>
          <w:p w14:paraId="03BE5F78" w14:textId="77919EFC" w:rsidR="00847591" w:rsidRPr="00C612D4" w:rsidRDefault="0084759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663" w:type="dxa"/>
            <w:shd w:val="clear" w:color="auto" w:fill="FFF2CC" w:themeFill="accent4" w:themeFillTint="33"/>
          </w:tcPr>
          <w:p w14:paraId="39612050" w14:textId="7B25E365" w:rsidR="00847591" w:rsidRPr="00C612D4" w:rsidRDefault="0084759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410" w:type="dxa"/>
            <w:shd w:val="clear" w:color="auto" w:fill="FFF2CC" w:themeFill="accent4" w:themeFillTint="33"/>
          </w:tcPr>
          <w:p w14:paraId="5E216CDC" w14:textId="28E52E17" w:rsidR="00847591" w:rsidRPr="00C612D4" w:rsidRDefault="0084759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104" w:type="dxa"/>
            <w:shd w:val="clear" w:color="auto" w:fill="FFF2CC" w:themeFill="accent4" w:themeFillTint="33"/>
          </w:tcPr>
          <w:p w14:paraId="435A1EEB" w14:textId="5189A754" w:rsidR="00847591" w:rsidRPr="00C612D4" w:rsidRDefault="0084759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487" w:type="dxa"/>
            <w:shd w:val="clear" w:color="auto" w:fill="FFF2CC" w:themeFill="accent4" w:themeFillTint="33"/>
          </w:tcPr>
          <w:p w14:paraId="736105E5" w14:textId="5DD3A2F6" w:rsidR="00847591" w:rsidRPr="00C612D4" w:rsidRDefault="00650990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>
              <w:rPr>
                <w:rFonts w:cs="Arial"/>
                <w:i/>
                <w:iCs/>
                <w:color w:val="44546A" w:themeColor="text2"/>
              </w:rPr>
              <w:t>Gather views on the project</w:t>
            </w:r>
          </w:p>
        </w:tc>
        <w:tc>
          <w:tcPr>
            <w:tcW w:w="3097" w:type="dxa"/>
            <w:shd w:val="clear" w:color="auto" w:fill="FFF2CC" w:themeFill="accent4" w:themeFillTint="33"/>
          </w:tcPr>
          <w:p w14:paraId="23FCE3C5" w14:textId="77777777" w:rsidR="00847591" w:rsidRPr="00C612D4" w:rsidRDefault="0084759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2135" w:type="dxa"/>
            <w:shd w:val="clear" w:color="auto" w:fill="FFF2CC" w:themeFill="accent4" w:themeFillTint="33"/>
          </w:tcPr>
          <w:p w14:paraId="32E58283" w14:textId="2C37DDDA" w:rsidR="00847591" w:rsidRPr="00C612D4" w:rsidRDefault="00C612D4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C612D4">
              <w:rPr>
                <w:rFonts w:cs="Arial"/>
                <w:i/>
                <w:iCs/>
                <w:color w:val="44546A" w:themeColor="text2"/>
              </w:rPr>
              <w:t>Consultation</w:t>
            </w:r>
          </w:p>
        </w:tc>
        <w:tc>
          <w:tcPr>
            <w:tcW w:w="4379" w:type="dxa"/>
            <w:shd w:val="clear" w:color="auto" w:fill="FFF2CC" w:themeFill="accent4" w:themeFillTint="33"/>
          </w:tcPr>
          <w:p w14:paraId="29CCB38F" w14:textId="580AAA66" w:rsidR="00847591" w:rsidRPr="00C612D4" w:rsidRDefault="00061169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>
              <w:rPr>
                <w:rFonts w:cs="Arial"/>
                <w:i/>
                <w:iCs/>
                <w:color w:val="44546A" w:themeColor="text2"/>
              </w:rPr>
              <w:t>Invitation to take part in both a consultation event and survey</w:t>
            </w:r>
          </w:p>
        </w:tc>
      </w:tr>
      <w:tr w:rsidR="00E305B1" w:rsidRPr="00061169" w14:paraId="56635A76" w14:textId="77777777" w:rsidTr="00061169">
        <w:tc>
          <w:tcPr>
            <w:tcW w:w="1389" w:type="dxa"/>
            <w:shd w:val="clear" w:color="auto" w:fill="FFF2CC" w:themeFill="accent4" w:themeFillTint="33"/>
          </w:tcPr>
          <w:p w14:paraId="43CCD76A" w14:textId="51F5EDD9" w:rsidR="00E305B1" w:rsidRPr="00061169" w:rsidRDefault="00C612D4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061169">
              <w:rPr>
                <w:rFonts w:cs="Arial"/>
                <w:i/>
                <w:iCs/>
                <w:color w:val="44546A" w:themeColor="text2"/>
              </w:rPr>
              <w:t>Finance department</w:t>
            </w:r>
          </w:p>
        </w:tc>
        <w:tc>
          <w:tcPr>
            <w:tcW w:w="1033" w:type="dxa"/>
            <w:shd w:val="clear" w:color="auto" w:fill="FFF2CC" w:themeFill="accent4" w:themeFillTint="33"/>
          </w:tcPr>
          <w:p w14:paraId="2470D387" w14:textId="4A9B2B35" w:rsidR="00E305B1" w:rsidRPr="00061169" w:rsidRDefault="00C612D4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061169">
              <w:rPr>
                <w:rFonts w:cs="Arial"/>
                <w:i/>
                <w:iCs/>
                <w:color w:val="44546A" w:themeColor="text2"/>
              </w:rPr>
              <w:t>Internal</w:t>
            </w:r>
          </w:p>
        </w:tc>
        <w:tc>
          <w:tcPr>
            <w:tcW w:w="1396" w:type="dxa"/>
            <w:shd w:val="clear" w:color="auto" w:fill="FFF2CC" w:themeFill="accent4" w:themeFillTint="33"/>
          </w:tcPr>
          <w:p w14:paraId="176FA99A" w14:textId="6E4DCEEA" w:rsidR="00E305B1" w:rsidRPr="00061169" w:rsidRDefault="00C612D4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061169">
              <w:rPr>
                <w:rFonts w:cs="Arial"/>
                <w:i/>
                <w:iCs/>
                <w:color w:val="44546A" w:themeColor="text2"/>
              </w:rPr>
              <w:t>Team</w:t>
            </w:r>
          </w:p>
        </w:tc>
        <w:tc>
          <w:tcPr>
            <w:tcW w:w="1314" w:type="dxa"/>
            <w:shd w:val="clear" w:color="auto" w:fill="FFF2CC" w:themeFill="accent4" w:themeFillTint="33"/>
          </w:tcPr>
          <w:p w14:paraId="31CA3E55" w14:textId="77777777" w:rsidR="00E305B1" w:rsidRPr="00061169" w:rsidRDefault="00E305B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663" w:type="dxa"/>
            <w:shd w:val="clear" w:color="auto" w:fill="FFF2CC" w:themeFill="accent4" w:themeFillTint="33"/>
          </w:tcPr>
          <w:p w14:paraId="36C5FE00" w14:textId="77777777" w:rsidR="00E305B1" w:rsidRPr="00061169" w:rsidRDefault="00E305B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410" w:type="dxa"/>
            <w:shd w:val="clear" w:color="auto" w:fill="FFF2CC" w:themeFill="accent4" w:themeFillTint="33"/>
          </w:tcPr>
          <w:p w14:paraId="64AE058A" w14:textId="77777777" w:rsidR="00E305B1" w:rsidRPr="00061169" w:rsidRDefault="00E305B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104" w:type="dxa"/>
            <w:shd w:val="clear" w:color="auto" w:fill="FFF2CC" w:themeFill="accent4" w:themeFillTint="33"/>
          </w:tcPr>
          <w:p w14:paraId="03175A2D" w14:textId="77777777" w:rsidR="00E305B1" w:rsidRPr="00061169" w:rsidRDefault="00E305B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1487" w:type="dxa"/>
            <w:shd w:val="clear" w:color="auto" w:fill="FFF2CC" w:themeFill="accent4" w:themeFillTint="33"/>
          </w:tcPr>
          <w:p w14:paraId="31EB1810" w14:textId="0C55B0F3" w:rsidR="00E305B1" w:rsidRPr="00061169" w:rsidRDefault="00791A60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061169">
              <w:rPr>
                <w:rFonts w:cs="Arial"/>
                <w:i/>
                <w:iCs/>
                <w:color w:val="44546A" w:themeColor="text2"/>
              </w:rPr>
              <w:t>Support with budgeting</w:t>
            </w:r>
          </w:p>
        </w:tc>
        <w:tc>
          <w:tcPr>
            <w:tcW w:w="3097" w:type="dxa"/>
            <w:shd w:val="clear" w:color="auto" w:fill="FFF2CC" w:themeFill="accent4" w:themeFillTint="33"/>
          </w:tcPr>
          <w:p w14:paraId="2306DBA2" w14:textId="77777777" w:rsidR="00E305B1" w:rsidRPr="00061169" w:rsidRDefault="00E305B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2135" w:type="dxa"/>
            <w:shd w:val="clear" w:color="auto" w:fill="FFF2CC" w:themeFill="accent4" w:themeFillTint="33"/>
          </w:tcPr>
          <w:p w14:paraId="59249AB6" w14:textId="77777777" w:rsidR="00E305B1" w:rsidRPr="00061169" w:rsidRDefault="00E305B1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</w:p>
        </w:tc>
        <w:tc>
          <w:tcPr>
            <w:tcW w:w="4379" w:type="dxa"/>
            <w:shd w:val="clear" w:color="auto" w:fill="FFF2CC" w:themeFill="accent4" w:themeFillTint="33"/>
          </w:tcPr>
          <w:p w14:paraId="6C500F2E" w14:textId="0DE38C50" w:rsidR="00E305B1" w:rsidRPr="00061169" w:rsidRDefault="00061169" w:rsidP="00061169">
            <w:pPr>
              <w:spacing w:before="240" w:after="120" w:line="276" w:lineRule="auto"/>
              <w:jc w:val="center"/>
              <w:rPr>
                <w:rFonts w:cs="Arial"/>
                <w:i/>
                <w:iCs/>
                <w:color w:val="44546A" w:themeColor="text2"/>
              </w:rPr>
            </w:pPr>
            <w:r w:rsidRPr="00061169">
              <w:rPr>
                <w:rFonts w:cs="Arial"/>
                <w:i/>
                <w:iCs/>
                <w:color w:val="44546A" w:themeColor="text2"/>
              </w:rPr>
              <w:t>Help required to develop and agree a budget for evaluation</w:t>
            </w:r>
          </w:p>
        </w:tc>
      </w:tr>
      <w:tr w:rsidR="00E305B1" w:rsidRPr="00847591" w14:paraId="6823F244" w14:textId="77777777" w:rsidTr="00847591">
        <w:tc>
          <w:tcPr>
            <w:tcW w:w="1389" w:type="dxa"/>
          </w:tcPr>
          <w:p w14:paraId="75B290B8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  <w:tc>
          <w:tcPr>
            <w:tcW w:w="1033" w:type="dxa"/>
          </w:tcPr>
          <w:p w14:paraId="5E66D435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  <w:tc>
          <w:tcPr>
            <w:tcW w:w="1396" w:type="dxa"/>
          </w:tcPr>
          <w:p w14:paraId="29E7EEB7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  <w:tc>
          <w:tcPr>
            <w:tcW w:w="1314" w:type="dxa"/>
          </w:tcPr>
          <w:p w14:paraId="41BDA6D1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  <w:tc>
          <w:tcPr>
            <w:tcW w:w="1663" w:type="dxa"/>
          </w:tcPr>
          <w:p w14:paraId="23B56C94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  <w:tc>
          <w:tcPr>
            <w:tcW w:w="1410" w:type="dxa"/>
          </w:tcPr>
          <w:p w14:paraId="02133CA4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  <w:tc>
          <w:tcPr>
            <w:tcW w:w="1104" w:type="dxa"/>
          </w:tcPr>
          <w:p w14:paraId="370A0F02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  <w:tc>
          <w:tcPr>
            <w:tcW w:w="1487" w:type="dxa"/>
          </w:tcPr>
          <w:p w14:paraId="17EE98BF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  <w:tc>
          <w:tcPr>
            <w:tcW w:w="3097" w:type="dxa"/>
          </w:tcPr>
          <w:p w14:paraId="376699C6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  <w:tc>
          <w:tcPr>
            <w:tcW w:w="2135" w:type="dxa"/>
          </w:tcPr>
          <w:p w14:paraId="76261838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  <w:tc>
          <w:tcPr>
            <w:tcW w:w="4379" w:type="dxa"/>
          </w:tcPr>
          <w:p w14:paraId="2E7C0DA3" w14:textId="77777777" w:rsidR="00E305B1" w:rsidRPr="00847591" w:rsidRDefault="00E305B1" w:rsidP="00847591">
            <w:pPr>
              <w:spacing w:before="240" w:after="120" w:line="276" w:lineRule="auto"/>
              <w:rPr>
                <w:rFonts w:cs="Arial"/>
                <w:color w:val="44546A" w:themeColor="text2"/>
              </w:rPr>
            </w:pPr>
          </w:p>
        </w:tc>
      </w:tr>
    </w:tbl>
    <w:p w14:paraId="4FE0D54F" w14:textId="77777777" w:rsidR="004F1C93" w:rsidRDefault="00650990"/>
    <w:sectPr w:rsidR="004F1C93" w:rsidSect="00673EA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AE"/>
    <w:rsid w:val="0005670B"/>
    <w:rsid w:val="00061169"/>
    <w:rsid w:val="00166D65"/>
    <w:rsid w:val="00222183"/>
    <w:rsid w:val="00281729"/>
    <w:rsid w:val="00416075"/>
    <w:rsid w:val="00422C00"/>
    <w:rsid w:val="00473475"/>
    <w:rsid w:val="004B048C"/>
    <w:rsid w:val="00624992"/>
    <w:rsid w:val="00650990"/>
    <w:rsid w:val="00673EAE"/>
    <w:rsid w:val="00791A60"/>
    <w:rsid w:val="007961A2"/>
    <w:rsid w:val="00847591"/>
    <w:rsid w:val="009E4529"/>
    <w:rsid w:val="00B4247F"/>
    <w:rsid w:val="00C612D4"/>
    <w:rsid w:val="00D14F21"/>
    <w:rsid w:val="00D91CDC"/>
    <w:rsid w:val="00DA1B95"/>
    <w:rsid w:val="00DF56F4"/>
    <w:rsid w:val="00E305B1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38C2"/>
  <w15:chartTrackingRefBased/>
  <w15:docId w15:val="{8C7FB4DD-23D6-4E38-B995-D14DAF6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AE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7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7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E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A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 xsi:nil="true"/>
    <lcf76f155ced4ddcb4097134ff3c332f xmlns="3c6684c8-57ae-40bf-8888-a2d49c38a2fc">
      <Terms xmlns="http://schemas.microsoft.com/office/infopath/2007/PartnerControls"/>
    </lcf76f155ced4ddcb4097134ff3c332f>
    <SharedWithUsers xmlns="efc295d5-4940-43b1-aa28-bd7d6688174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C18424-C9C2-4748-9E59-D99946801568}"/>
</file>

<file path=customXml/itemProps2.xml><?xml version="1.0" encoding="utf-8"?>
<ds:datastoreItem xmlns:ds="http://schemas.openxmlformats.org/officeDocument/2006/customXml" ds:itemID="{DD80B9C6-E0FE-4E0C-9C22-3F75B3E4B2EE}"/>
</file>

<file path=customXml/itemProps3.xml><?xml version="1.0" encoding="utf-8"?>
<ds:datastoreItem xmlns:ds="http://schemas.openxmlformats.org/officeDocument/2006/customXml" ds:itemID="{04A575B1-A34E-4765-A53B-4A769CECE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Parry</dc:creator>
  <cp:keywords/>
  <dc:description/>
  <cp:lastModifiedBy>Jon Parry</cp:lastModifiedBy>
  <cp:revision>20</cp:revision>
  <dcterms:created xsi:type="dcterms:W3CDTF">2022-01-11T15:08:00Z</dcterms:created>
  <dcterms:modified xsi:type="dcterms:W3CDTF">2022-02-15T13:54:00Z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0x0101002BF91F6360BDD04F89F0DFDA44A8C8B9</vt:lpwstr>
  </property>
  <property fmtid="{D5CDD505-2E9C-101B-9397-08002B2CF9AE}" pid="3" name="Order">
    <vt:r8>24700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